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7F261" w14:textId="77777777" w:rsidR="005F690C" w:rsidRPr="00987D2D" w:rsidRDefault="005F690C" w:rsidP="005F690C">
      <w:pPr>
        <w:jc w:val="both"/>
        <w:rPr>
          <w:rFonts w:cs="Arial"/>
        </w:rPr>
      </w:pPr>
      <w:r w:rsidRPr="00987D2D">
        <w:rPr>
          <w:rFonts w:cs="Arial"/>
        </w:rPr>
        <w:t>Y también se solicita:</w:t>
      </w:r>
    </w:p>
    <w:p w14:paraId="04DA48A9" w14:textId="7F5D7E29" w:rsidR="005F690C" w:rsidRPr="00987D2D" w:rsidRDefault="005F690C" w:rsidP="005F690C">
      <w:pPr>
        <w:pStyle w:val="Prrafodelista"/>
        <w:numPr>
          <w:ilvl w:val="0"/>
          <w:numId w:val="1"/>
        </w:numPr>
        <w:jc w:val="both"/>
        <w:rPr>
          <w:rFonts w:ascii="Arial" w:eastAsia="Arial" w:hAnsi="Arial" w:cs="Arial"/>
          <w:sz w:val="22"/>
          <w:szCs w:val="22"/>
          <w:lang w:eastAsia="en-US"/>
        </w:rPr>
      </w:pPr>
      <w:r w:rsidRPr="00987D2D">
        <w:rPr>
          <w:rFonts w:ascii="Arial" w:eastAsia="Arial" w:hAnsi="Arial" w:cs="Arial"/>
          <w:sz w:val="22"/>
          <w:szCs w:val="22"/>
          <w:lang w:eastAsia="en-US"/>
        </w:rPr>
        <w:t>Acuerdo Metropolitano PLAN DE DESARROLLO- vigente</w:t>
      </w:r>
      <w:r w:rsidR="00623CB5">
        <w:rPr>
          <w:rFonts w:ascii="Arial" w:eastAsia="Arial" w:hAnsi="Arial" w:cs="Arial"/>
          <w:sz w:val="22"/>
          <w:szCs w:val="22"/>
          <w:lang w:eastAsia="en-US"/>
        </w:rPr>
        <w:t>. Se encuentra en carpeta anexa.</w:t>
      </w:r>
    </w:p>
    <w:p w14:paraId="45223191" w14:textId="30286989" w:rsidR="005F690C" w:rsidRPr="00987D2D" w:rsidRDefault="005F690C" w:rsidP="005F690C">
      <w:pPr>
        <w:pStyle w:val="Prrafodelista"/>
        <w:numPr>
          <w:ilvl w:val="0"/>
          <w:numId w:val="1"/>
        </w:numPr>
        <w:jc w:val="both"/>
        <w:rPr>
          <w:rFonts w:ascii="Arial" w:eastAsia="Arial" w:hAnsi="Arial" w:cs="Arial"/>
          <w:sz w:val="22"/>
          <w:szCs w:val="22"/>
          <w:lang w:eastAsia="en-US"/>
        </w:rPr>
      </w:pPr>
      <w:r w:rsidRPr="00987D2D">
        <w:rPr>
          <w:rFonts w:ascii="Arial" w:eastAsia="Arial" w:hAnsi="Arial" w:cs="Arial"/>
          <w:sz w:val="22"/>
          <w:szCs w:val="22"/>
          <w:lang w:eastAsia="en-US"/>
        </w:rPr>
        <w:t>Acuerdo Metropolitano P</w:t>
      </w:r>
      <w:r w:rsidR="00623CB5">
        <w:rPr>
          <w:rFonts w:ascii="Arial" w:eastAsia="Arial" w:hAnsi="Arial" w:cs="Arial"/>
          <w:sz w:val="22"/>
          <w:szCs w:val="22"/>
          <w:lang w:eastAsia="en-US"/>
        </w:rPr>
        <w:t>EM</w:t>
      </w:r>
      <w:r w:rsidRPr="00987D2D">
        <w:rPr>
          <w:rFonts w:ascii="Arial" w:eastAsia="Arial" w:hAnsi="Arial" w:cs="Arial"/>
          <w:sz w:val="22"/>
          <w:szCs w:val="22"/>
          <w:lang w:eastAsia="en-US"/>
        </w:rPr>
        <w:t xml:space="preserve">OT METROPOLITANO </w:t>
      </w:r>
      <w:r w:rsidR="00623CB5">
        <w:rPr>
          <w:rFonts w:ascii="Arial" w:eastAsia="Arial" w:hAnsi="Arial" w:cs="Arial"/>
          <w:sz w:val="22"/>
          <w:szCs w:val="22"/>
          <w:lang w:eastAsia="en-US"/>
        </w:rPr>
        <w:t>–</w:t>
      </w:r>
      <w:r w:rsidRPr="00987D2D">
        <w:rPr>
          <w:rFonts w:ascii="Arial" w:eastAsia="Arial" w:hAnsi="Arial" w:cs="Arial"/>
          <w:sz w:val="22"/>
          <w:szCs w:val="22"/>
          <w:lang w:eastAsia="en-US"/>
        </w:rPr>
        <w:t>vigente</w:t>
      </w:r>
      <w:r w:rsidR="00623CB5">
        <w:rPr>
          <w:rFonts w:ascii="Arial" w:eastAsia="Arial" w:hAnsi="Arial" w:cs="Arial"/>
          <w:sz w:val="22"/>
          <w:szCs w:val="22"/>
          <w:lang w:eastAsia="en-US"/>
        </w:rPr>
        <w:t>. No se encuentra adoptado el PEMOT, está en fase final.</w:t>
      </w:r>
    </w:p>
    <w:p w14:paraId="4BD46E07" w14:textId="5D692D2E" w:rsidR="005F690C" w:rsidRPr="00987D2D" w:rsidRDefault="005F690C" w:rsidP="005F690C">
      <w:pPr>
        <w:pStyle w:val="Prrafodelista"/>
        <w:numPr>
          <w:ilvl w:val="0"/>
          <w:numId w:val="1"/>
        </w:numPr>
        <w:jc w:val="both"/>
        <w:rPr>
          <w:rFonts w:ascii="Arial" w:eastAsia="Arial" w:hAnsi="Arial" w:cs="Arial"/>
          <w:sz w:val="22"/>
          <w:szCs w:val="22"/>
          <w:lang w:eastAsia="en-US"/>
        </w:rPr>
      </w:pPr>
      <w:r w:rsidRPr="00987D2D">
        <w:rPr>
          <w:rFonts w:ascii="Arial" w:eastAsia="Arial" w:hAnsi="Arial" w:cs="Arial"/>
          <w:sz w:val="22"/>
          <w:szCs w:val="22"/>
          <w:lang w:eastAsia="en-US"/>
        </w:rPr>
        <w:t xml:space="preserve">Acuerdos de Hechos Metropolitanos </w:t>
      </w:r>
      <w:r w:rsidR="00623CB5">
        <w:rPr>
          <w:rFonts w:ascii="Arial" w:eastAsia="Arial" w:hAnsi="Arial" w:cs="Arial"/>
          <w:sz w:val="22"/>
          <w:szCs w:val="22"/>
          <w:lang w:eastAsia="en-US"/>
        </w:rPr>
        <w:t>–</w:t>
      </w:r>
      <w:r w:rsidRPr="00987D2D">
        <w:rPr>
          <w:rFonts w:ascii="Arial" w:eastAsia="Arial" w:hAnsi="Arial" w:cs="Arial"/>
          <w:sz w:val="22"/>
          <w:szCs w:val="22"/>
          <w:lang w:eastAsia="en-US"/>
        </w:rPr>
        <w:t xml:space="preserve"> vigentes</w:t>
      </w:r>
      <w:r w:rsidR="00623CB5">
        <w:rPr>
          <w:rFonts w:ascii="Arial" w:eastAsia="Arial" w:hAnsi="Arial" w:cs="Arial"/>
          <w:sz w:val="22"/>
          <w:szCs w:val="22"/>
          <w:lang w:eastAsia="en-US"/>
        </w:rPr>
        <w:t>. Se encuentran en carpeta anexa.</w:t>
      </w:r>
    </w:p>
    <w:p w14:paraId="2F8DE107" w14:textId="1BAAD3DD" w:rsidR="005F690C" w:rsidRPr="00987D2D" w:rsidRDefault="005F690C" w:rsidP="005F690C">
      <w:pPr>
        <w:pStyle w:val="Prrafodelista"/>
        <w:numPr>
          <w:ilvl w:val="0"/>
          <w:numId w:val="1"/>
        </w:numPr>
        <w:jc w:val="both"/>
        <w:rPr>
          <w:rFonts w:ascii="Arial" w:eastAsia="Arial" w:hAnsi="Arial" w:cs="Arial"/>
          <w:sz w:val="22"/>
          <w:szCs w:val="22"/>
          <w:lang w:eastAsia="en-US"/>
        </w:rPr>
      </w:pPr>
      <w:r w:rsidRPr="00987D2D">
        <w:rPr>
          <w:rFonts w:ascii="Arial" w:eastAsia="Arial" w:hAnsi="Arial" w:cs="Arial"/>
          <w:sz w:val="22"/>
          <w:szCs w:val="22"/>
          <w:lang w:eastAsia="en-US"/>
        </w:rPr>
        <w:t>Acuerdos de Constitución de la Autoridad de Transporte</w:t>
      </w:r>
      <w:r w:rsidR="00F35067">
        <w:rPr>
          <w:rFonts w:ascii="Arial" w:eastAsia="Arial" w:hAnsi="Arial" w:cs="Arial"/>
          <w:sz w:val="22"/>
          <w:szCs w:val="22"/>
          <w:lang w:eastAsia="en-US"/>
        </w:rPr>
        <w:t>. Se encuentran en carpeta anexa.</w:t>
      </w:r>
    </w:p>
    <w:p w14:paraId="70FEA541" w14:textId="790B78FE" w:rsidR="005F690C" w:rsidRPr="00987D2D" w:rsidRDefault="005F690C" w:rsidP="005F690C">
      <w:pPr>
        <w:pStyle w:val="Prrafodelista"/>
        <w:numPr>
          <w:ilvl w:val="0"/>
          <w:numId w:val="1"/>
        </w:numPr>
        <w:jc w:val="both"/>
        <w:rPr>
          <w:rFonts w:ascii="Arial" w:eastAsia="Arial" w:hAnsi="Arial" w:cs="Arial"/>
          <w:sz w:val="22"/>
          <w:szCs w:val="22"/>
          <w:lang w:eastAsia="en-US"/>
        </w:rPr>
      </w:pPr>
      <w:r w:rsidRPr="00987D2D">
        <w:rPr>
          <w:rFonts w:ascii="Arial" w:eastAsia="Arial" w:hAnsi="Arial" w:cs="Arial"/>
          <w:sz w:val="22"/>
          <w:szCs w:val="22"/>
          <w:lang w:eastAsia="en-US"/>
        </w:rPr>
        <w:t>Actos Adm</w:t>
      </w:r>
      <w:r w:rsidR="00623CB5">
        <w:rPr>
          <w:rFonts w:ascii="Arial" w:eastAsia="Arial" w:hAnsi="Arial" w:cs="Arial"/>
          <w:sz w:val="22"/>
          <w:szCs w:val="22"/>
          <w:lang w:eastAsia="en-US"/>
        </w:rPr>
        <w:t>inistrativos de Constitución de</w:t>
      </w:r>
      <w:r w:rsidR="00F35067">
        <w:rPr>
          <w:rFonts w:ascii="Arial" w:eastAsia="Arial" w:hAnsi="Arial" w:cs="Arial"/>
          <w:sz w:val="22"/>
          <w:szCs w:val="22"/>
          <w:lang w:eastAsia="en-US"/>
        </w:rPr>
        <w:t xml:space="preserve"> la Gestión Catastral. Se encuentra en carpeta anexa.</w:t>
      </w:r>
    </w:p>
    <w:p w14:paraId="7D296757" w14:textId="61D9CA2E" w:rsidR="00C23B36" w:rsidRPr="00C917E7" w:rsidRDefault="00F35067" w:rsidP="00C23B36">
      <w:pPr>
        <w:pStyle w:val="Prrafodelista"/>
        <w:numPr>
          <w:ilvl w:val="0"/>
          <w:numId w:val="2"/>
        </w:numPr>
        <w:autoSpaceDE w:val="0"/>
        <w:autoSpaceDN w:val="0"/>
        <w:adjustRightInd w:val="0"/>
        <w:jc w:val="both"/>
        <w:rPr>
          <w:rFonts w:ascii="Arial" w:eastAsia="Arial" w:hAnsi="Arial" w:cs="Arial"/>
          <w:sz w:val="22"/>
          <w:szCs w:val="22"/>
          <w:lang w:eastAsia="en-US"/>
        </w:rPr>
      </w:pPr>
      <w:r>
        <w:rPr>
          <w:rFonts w:ascii="Arial" w:eastAsia="Arial" w:hAnsi="Arial" w:cs="Arial"/>
          <w:sz w:val="22"/>
          <w:szCs w:val="22"/>
          <w:lang w:eastAsia="en-US"/>
        </w:rPr>
        <w:t xml:space="preserve">Gestión </w:t>
      </w:r>
      <w:r w:rsidR="00C23B36" w:rsidRPr="00987D2D">
        <w:rPr>
          <w:rFonts w:ascii="Arial" w:eastAsia="Arial" w:hAnsi="Arial" w:cs="Arial"/>
          <w:sz w:val="22"/>
          <w:szCs w:val="22"/>
          <w:lang w:eastAsia="en-US"/>
        </w:rPr>
        <w:t>durante el cuatrienio</w:t>
      </w:r>
      <w:r w:rsidR="00C23B36">
        <w:rPr>
          <w:rFonts w:ascii="Arial" w:eastAsia="Arial" w:hAnsi="Arial" w:cs="Arial"/>
          <w:sz w:val="22"/>
          <w:szCs w:val="22"/>
          <w:lang w:eastAsia="en-US"/>
        </w:rPr>
        <w:t xml:space="preserve"> </w:t>
      </w:r>
      <w:r w:rsidR="00C23B36" w:rsidRPr="0020310D">
        <w:rPr>
          <w:rFonts w:ascii="Arial" w:eastAsia="Arial" w:hAnsi="Arial" w:cs="Arial"/>
          <w:b/>
          <w:color w:val="FF0000"/>
          <w:sz w:val="22"/>
          <w:szCs w:val="22"/>
          <w:lang w:eastAsia="en-US"/>
        </w:rPr>
        <w:t>AD</w:t>
      </w:r>
    </w:p>
    <w:p w14:paraId="7B2E34B4" w14:textId="3CBFFA1A" w:rsidR="00C917E7" w:rsidRPr="00C917E7" w:rsidRDefault="00C917E7" w:rsidP="00C917E7">
      <w:pPr>
        <w:pStyle w:val="Prrafodelista"/>
        <w:autoSpaceDE w:val="0"/>
        <w:autoSpaceDN w:val="0"/>
        <w:adjustRightInd w:val="0"/>
        <w:jc w:val="both"/>
        <w:rPr>
          <w:rFonts w:ascii="Arial" w:eastAsia="Arial" w:hAnsi="Arial" w:cs="Arial"/>
          <w:sz w:val="22"/>
          <w:szCs w:val="22"/>
          <w:lang w:eastAsia="en-US"/>
        </w:rPr>
      </w:pPr>
      <w:r>
        <w:rPr>
          <w:rFonts w:ascii="Arial" w:eastAsia="Arial" w:hAnsi="Arial" w:cs="Arial"/>
          <w:sz w:val="22"/>
          <w:szCs w:val="22"/>
          <w:lang w:eastAsia="en-US"/>
        </w:rPr>
        <w:t>Se anexan los informes de gestión de los periodos 2020, 2021 y 2022.</w:t>
      </w:r>
    </w:p>
    <w:p w14:paraId="386E81EC" w14:textId="77777777" w:rsidR="00C23B36" w:rsidRPr="00987D2D" w:rsidRDefault="00C23B36" w:rsidP="00C23B36">
      <w:pPr>
        <w:pStyle w:val="Prrafodelista"/>
        <w:autoSpaceDE w:val="0"/>
        <w:autoSpaceDN w:val="0"/>
        <w:adjustRightInd w:val="0"/>
        <w:ind w:left="420"/>
        <w:jc w:val="both"/>
        <w:rPr>
          <w:rFonts w:ascii="Arial" w:eastAsia="Arial" w:hAnsi="Arial" w:cs="Arial"/>
          <w:sz w:val="22"/>
          <w:szCs w:val="22"/>
          <w:lang w:eastAsia="en-US"/>
        </w:rPr>
      </w:pPr>
    </w:p>
    <w:p w14:paraId="017DE272" w14:textId="663BC6D2" w:rsidR="00C23B36" w:rsidRDefault="00C23B36" w:rsidP="00C23B36">
      <w:pPr>
        <w:jc w:val="both"/>
        <w:rPr>
          <w:b/>
          <w:color w:val="FF0000"/>
        </w:rPr>
      </w:pPr>
      <w:r>
        <w:t>2.</w:t>
      </w:r>
      <w:r>
        <w:tab/>
        <w:t xml:space="preserve">Cual es porcentaje de avance de la Implementación del Observatorio inmobiliario como parte del Catastro Multipropósito? </w:t>
      </w:r>
      <w:r w:rsidRPr="007F2CAA">
        <w:rPr>
          <w:b/>
          <w:color w:val="FF0000"/>
        </w:rPr>
        <w:t>AD</w:t>
      </w:r>
    </w:p>
    <w:p w14:paraId="5244DF64" w14:textId="77777777" w:rsidR="00301D88" w:rsidRDefault="00301D88" w:rsidP="00301D88">
      <w:pPr>
        <w:ind w:left="708"/>
        <w:jc w:val="both"/>
      </w:pPr>
      <w:r>
        <w:t>En el Área Metropolitana de Bucaramanga, hemos cumplido con una serie de actividades clave para el Observatorio Inmobiliario Catastral, alineadas con los objetivos establecidos por el IGAC:</w:t>
      </w:r>
    </w:p>
    <w:p w14:paraId="373AD366" w14:textId="33524C24" w:rsidR="00301D88" w:rsidRDefault="00301D88" w:rsidP="00301D88">
      <w:pPr>
        <w:ind w:left="1416"/>
        <w:jc w:val="both"/>
      </w:pPr>
      <w:r>
        <w:t>1.</w:t>
      </w:r>
      <w:r>
        <w:tab/>
        <w:t>Mantuvimos actualizada la base catastral de propietarios de predios mediante la interoperabilidad con la Superintendencia de Notariado y Registro.</w:t>
      </w:r>
    </w:p>
    <w:p w14:paraId="66CCC240" w14:textId="77777777" w:rsidR="00301D88" w:rsidRDefault="00301D88" w:rsidP="00301D88">
      <w:pPr>
        <w:ind w:left="1416"/>
        <w:jc w:val="both"/>
      </w:pPr>
      <w:r>
        <w:t>2.</w:t>
      </w:r>
      <w:r>
        <w:tab/>
        <w:t>Actualizamos los mapas de asentamientos urbanos y rurales utilizando orto mosaicos.</w:t>
      </w:r>
    </w:p>
    <w:p w14:paraId="5844F50E" w14:textId="00D97E5A" w:rsidR="00301D88" w:rsidRDefault="00301D88" w:rsidP="00301D88">
      <w:pPr>
        <w:ind w:left="1416"/>
        <w:jc w:val="both"/>
      </w:pPr>
      <w:r>
        <w:t>3.</w:t>
      </w:r>
      <w:r>
        <w:tab/>
        <w:t xml:space="preserve">Visualizamos las </w:t>
      </w:r>
      <w:r w:rsidR="007707BD">
        <w:t xml:space="preserve">transacciones inmobiliarias </w:t>
      </w:r>
      <w:r>
        <w:t>realizadas entre 2021, 2022 y 2023 gracias a un convenio con la Superintendencia de Notariado y Registro.</w:t>
      </w:r>
    </w:p>
    <w:p w14:paraId="6879F1D3" w14:textId="77777777" w:rsidR="00301D88" w:rsidRDefault="00301D88" w:rsidP="00301D88">
      <w:pPr>
        <w:ind w:left="1416"/>
        <w:jc w:val="both"/>
      </w:pPr>
      <w:r>
        <w:t>4.</w:t>
      </w:r>
      <w:r>
        <w:tab/>
        <w:t>Integración exitosa de las bases de catastro con el registro mercantil de la cámara de comercio, proporcionando información sobre la distribución de empresas y empleos por actividad económica en el área metropolitana de Bucaramanga.</w:t>
      </w:r>
    </w:p>
    <w:p w14:paraId="293F2064" w14:textId="77777777" w:rsidR="00301D88" w:rsidRDefault="00301D88" w:rsidP="00301D88">
      <w:pPr>
        <w:ind w:left="1416"/>
        <w:jc w:val="both"/>
      </w:pPr>
      <w:r>
        <w:t>5.</w:t>
      </w:r>
      <w:r>
        <w:tab/>
        <w:t>Identificamos conflictos de uso de suelo mediante el cruce de datos de la cámara de comercio y el Plan de Ordenamiento Territorial del Municipio de Bucaramanga.</w:t>
      </w:r>
    </w:p>
    <w:p w14:paraId="75CA7604" w14:textId="77777777" w:rsidR="00301D88" w:rsidRDefault="00301D88" w:rsidP="00301D88">
      <w:pPr>
        <w:ind w:left="1416"/>
        <w:jc w:val="both"/>
      </w:pPr>
      <w:r>
        <w:t>6.</w:t>
      </w:r>
      <w:r>
        <w:tab/>
        <w:t>Logramos la integración de las bases de datos catastrales con el acueducto metropolitano de Bucaramanga.</w:t>
      </w:r>
    </w:p>
    <w:p w14:paraId="6F913FDA" w14:textId="1580C7A9" w:rsidR="00301D88" w:rsidRDefault="007707BD" w:rsidP="00301D88">
      <w:pPr>
        <w:ind w:left="1416"/>
        <w:jc w:val="both"/>
      </w:pPr>
      <w:r>
        <w:t>7</w:t>
      </w:r>
      <w:r w:rsidR="00301D88">
        <w:t>.</w:t>
      </w:r>
      <w:r w:rsidR="00301D88">
        <w:tab/>
        <w:t>Generamos una aplicación para mejorar la atención al ciudadano.</w:t>
      </w:r>
    </w:p>
    <w:p w14:paraId="324B821C" w14:textId="1174AFC2" w:rsidR="00301D88" w:rsidRDefault="007707BD" w:rsidP="00301D88">
      <w:pPr>
        <w:ind w:left="1416"/>
        <w:jc w:val="both"/>
      </w:pPr>
      <w:r>
        <w:t>8</w:t>
      </w:r>
      <w:r w:rsidR="00301D88">
        <w:t>.</w:t>
      </w:r>
      <w:r w:rsidR="00301D88">
        <w:tab/>
        <w:t>Creamos un visor metropolitano para la fácil visualización de los productos elaborados por el catastro multipropósito.</w:t>
      </w:r>
    </w:p>
    <w:p w14:paraId="7832FC61" w14:textId="77777777" w:rsidR="00313374" w:rsidRDefault="005B3244" w:rsidP="00313374">
      <w:pPr>
        <w:ind w:left="1416"/>
        <w:jc w:val="both"/>
      </w:pPr>
      <w:r>
        <w:tab/>
      </w:r>
      <w:r w:rsidR="00313374">
        <w:t>El Visor Metropolitano actualmente ofrece tres grandes categorías de información:</w:t>
      </w:r>
    </w:p>
    <w:p w14:paraId="57090E06" w14:textId="77777777" w:rsidR="00313374" w:rsidRDefault="00313374" w:rsidP="00313374">
      <w:pPr>
        <w:ind w:left="1416"/>
        <w:jc w:val="both"/>
      </w:pPr>
      <w:r>
        <w:t>1.</w:t>
      </w:r>
      <w:r>
        <w:tab/>
        <w:t>Estadísticas de Gestión Catastral: Ofrece un resumen detallado de los trámites catastrales llevados a cabo por el Área Metropolitana de Bucaramanga. Esta sección es fundamental para comprender los avances en la gestión catastral.</w:t>
      </w:r>
    </w:p>
    <w:p w14:paraId="116BCE87" w14:textId="62DA4EDD" w:rsidR="00313374" w:rsidRDefault="00313374" w:rsidP="00313374">
      <w:pPr>
        <w:ind w:left="1416"/>
        <w:jc w:val="both"/>
      </w:pPr>
      <w:r>
        <w:lastRenderedPageBreak/>
        <w:t>2.</w:t>
      </w:r>
      <w:r>
        <w:tab/>
        <w:t xml:space="preserve">Catastro Multipropósito e información para la planeación territorial: Aquí se concentran los productos generados por el Centro de Estudios Territoriales. Destaca por integrar bases de datos con el registro mercantil de la cámara de comercio, proporcionando una visión completa de la distribución de empresas y empleos por actividad económica en el área metropolitana de Bucaramanga. </w:t>
      </w:r>
      <w:r w:rsidR="00161909">
        <w:t xml:space="preserve">Además de un </w:t>
      </w:r>
      <w:r>
        <w:t>índice</w:t>
      </w:r>
      <w:r w:rsidR="00161909">
        <w:t xml:space="preserve"> que</w:t>
      </w:r>
      <w:bookmarkStart w:id="0" w:name="_GoBack"/>
      <w:bookmarkEnd w:id="0"/>
      <w:r>
        <w:t xml:space="preserve"> evalúa el bienestar del área metropolitana mediante indicadores que abarcan aspectos cruciales como empleo, ingresos, vivienda, salud y medio ambiente.</w:t>
      </w:r>
    </w:p>
    <w:p w14:paraId="6FDEDC6B" w14:textId="77777777" w:rsidR="00313374" w:rsidRDefault="00313374" w:rsidP="00313374">
      <w:pPr>
        <w:ind w:left="1416"/>
        <w:jc w:val="both"/>
      </w:pPr>
      <w:r>
        <w:t>3.</w:t>
      </w:r>
      <w:r>
        <w:tab/>
        <w:t>Movilidad y Transporte: En esta sección se encuentran estudios relevantes para la actualización del Plan Maestro Metropolitano de Movilidad (PMMM), junto con estadísticas que se enfocan en aspectos de género en relación con la movilidad y el transporte en el área.</w:t>
      </w:r>
    </w:p>
    <w:p w14:paraId="4487652A" w14:textId="53BAEABC" w:rsidR="005B3244" w:rsidRDefault="00313374" w:rsidP="00313374">
      <w:pPr>
        <w:ind w:left="1416"/>
        <w:jc w:val="both"/>
      </w:pPr>
      <w:r>
        <w:t>El Visor Metropolitano proporciona una visión integral y detallada de aspectos cruciales que impactan la vida y el desarrollo en el área metropolitana de Bucaramanga, desde la gestión catastral hasta el bienestar general y la movilidad urbana.</w:t>
      </w:r>
    </w:p>
    <w:p w14:paraId="1AB38159" w14:textId="391E4E8A" w:rsidR="00F35067" w:rsidRDefault="00301D88" w:rsidP="00313374">
      <w:pPr>
        <w:jc w:val="both"/>
      </w:pPr>
      <w:r>
        <w:t>Estos logros nos han permitido alcanzar un cumplimiento del 86% para la formación total del Observatorio Inmobiliario Catastral</w:t>
      </w:r>
      <w:r w:rsidR="00503E53">
        <w:t>.</w:t>
      </w:r>
    </w:p>
    <w:p w14:paraId="5AB7D8A7" w14:textId="59FF544F" w:rsidR="00503E53" w:rsidRPr="00F35067" w:rsidRDefault="00503E53" w:rsidP="00503E53">
      <w:pPr>
        <w:jc w:val="both"/>
      </w:pPr>
      <w:r>
        <w:tab/>
      </w:r>
    </w:p>
    <w:p w14:paraId="5564D447" w14:textId="1E47563C" w:rsidR="00C23B36" w:rsidRDefault="00C23B36" w:rsidP="00C23B36">
      <w:pPr>
        <w:jc w:val="both"/>
        <w:rPr>
          <w:b/>
          <w:color w:val="FF0000"/>
        </w:rPr>
      </w:pPr>
      <w:r>
        <w:t>3.</w:t>
      </w:r>
      <w:r>
        <w:tab/>
        <w:t xml:space="preserve">¿Qué gestión se hizo para aumentar el aporte de Piedecuesta y Girón? </w:t>
      </w:r>
      <w:r w:rsidRPr="007F2CAA">
        <w:rPr>
          <w:b/>
          <w:color w:val="FF0000"/>
        </w:rPr>
        <w:t>AD</w:t>
      </w:r>
    </w:p>
    <w:p w14:paraId="31C3FD83" w14:textId="17D5AEA8" w:rsidR="00F35067" w:rsidRPr="00F35067" w:rsidRDefault="00C917E7" w:rsidP="00C23B36">
      <w:pPr>
        <w:jc w:val="both"/>
      </w:pPr>
      <w:r>
        <w:t>Se han sostenido conversaciones con las administraciones municipales en ese sentido</w:t>
      </w:r>
      <w:r w:rsidR="00DD547D">
        <w:t>. Sin embargo, no se ha obtenido un compromiso por parte de las Administraciones Municipales de presentar proyectos de acuerdo municipal para lograr este cometido</w:t>
      </w:r>
      <w:r>
        <w:t>.</w:t>
      </w:r>
    </w:p>
    <w:p w14:paraId="02EA7EBB" w14:textId="747BBF9C" w:rsidR="00C23B36" w:rsidRDefault="00C23B36" w:rsidP="00C23B36">
      <w:pPr>
        <w:jc w:val="both"/>
        <w:rPr>
          <w:b/>
          <w:color w:val="FF0000"/>
        </w:rPr>
      </w:pPr>
      <w:r>
        <w:t>4.</w:t>
      </w:r>
      <w:r>
        <w:tab/>
        <w:t xml:space="preserve">¿Los nuevos hechos metropolitanos dependen de los aportes realizados y el presupuesto inicial o existe un aporte nuevo por parte de los municipios? </w:t>
      </w:r>
      <w:r w:rsidRPr="007F2CAA">
        <w:rPr>
          <w:b/>
          <w:color w:val="FF0000"/>
        </w:rPr>
        <w:t>AD</w:t>
      </w:r>
    </w:p>
    <w:p w14:paraId="4A72BCE8" w14:textId="11295E0A" w:rsidR="00F35067" w:rsidRPr="00F35067" w:rsidRDefault="00ED3C4C" w:rsidP="00C23B36">
      <w:pPr>
        <w:jc w:val="both"/>
      </w:pPr>
      <w:r>
        <w:t>Dependiendo del alcance que se indique en cada uno de los acuerdos metropolitanos por medio de los cuales se adoptan los Hechos Metropolitanos, se define si se requiere financiación adicional o si se efectúa un ajuste en la ejecución presupuestal para incluir proyectos o gestión que se encargue de adelantar algunas labores.</w:t>
      </w:r>
    </w:p>
    <w:p w14:paraId="790C8327" w14:textId="2EC5E63A" w:rsidR="00C23B36" w:rsidRDefault="00C23B36" w:rsidP="00C23B36">
      <w:pPr>
        <w:shd w:val="clear" w:color="auto" w:fill="FFFFFF" w:themeFill="background1"/>
        <w:jc w:val="both"/>
        <w:rPr>
          <w:b/>
          <w:color w:val="FF0000"/>
        </w:rPr>
      </w:pPr>
      <w:r>
        <w:t>7.</w:t>
      </w:r>
      <w:r>
        <w:tab/>
        <w:t xml:space="preserve">En calidad de vicepresidente de </w:t>
      </w:r>
      <w:proofErr w:type="spellStart"/>
      <w:r>
        <w:t>Asoareas</w:t>
      </w:r>
      <w:proofErr w:type="spellEnd"/>
      <w:r>
        <w:t xml:space="preserve">, ¿Qué avances tienen en la reglamentación de la Ley 1625? </w:t>
      </w:r>
      <w:r>
        <w:rPr>
          <w:b/>
          <w:color w:val="FF0000"/>
        </w:rPr>
        <w:t>AD</w:t>
      </w:r>
    </w:p>
    <w:p w14:paraId="791DFFA8" w14:textId="36868F4B" w:rsidR="00F35067" w:rsidRPr="00F35067" w:rsidRDefault="007D02B7" w:rsidP="00C23B36">
      <w:pPr>
        <w:shd w:val="clear" w:color="auto" w:fill="FFFFFF" w:themeFill="background1"/>
        <w:jc w:val="both"/>
      </w:pPr>
      <w:r>
        <w:t xml:space="preserve">Se han generado reuniones con el Gobierno Nacional </w:t>
      </w:r>
      <w:r w:rsidR="00C917E7">
        <w:t>y se ha participado en las convocatorias que en ese sentido se han efectuado. También se han presentado las observaciones a los borradores de reglamentaciones que el Gobierno Nacional ha publicado.</w:t>
      </w:r>
    </w:p>
    <w:p w14:paraId="40CCE0ED" w14:textId="64905D71" w:rsidR="00C23B36" w:rsidRDefault="00C23B36" w:rsidP="00C23B36">
      <w:pPr>
        <w:shd w:val="clear" w:color="auto" w:fill="FFFFFF" w:themeFill="background1"/>
        <w:jc w:val="both"/>
        <w:rPr>
          <w:b/>
          <w:color w:val="FF0000"/>
        </w:rPr>
      </w:pPr>
      <w:r>
        <w:t>8.</w:t>
      </w:r>
      <w:r>
        <w:tab/>
        <w:t xml:space="preserve">¿Qué gestión se ha realizado de relacionamiento con Lebrija y otros municipios aledaños? </w:t>
      </w:r>
      <w:r>
        <w:rPr>
          <w:b/>
          <w:color w:val="FF0000"/>
        </w:rPr>
        <w:t xml:space="preserve">AD </w:t>
      </w:r>
    </w:p>
    <w:p w14:paraId="115DAA52" w14:textId="452A10CE" w:rsidR="00F35067" w:rsidRPr="00F35067" w:rsidRDefault="00C77792" w:rsidP="00C23B36">
      <w:pPr>
        <w:shd w:val="clear" w:color="auto" w:fill="FFFFFF" w:themeFill="background1"/>
        <w:jc w:val="both"/>
      </w:pPr>
      <w:r>
        <w:t>Se han sostenido reuniones para presentar el trabajo que se realiza sobre Hechos Metropolitanos y revisar la posibilidad de participación en trabajos conjuntos, por encontrarse intereses comunes al respecto.</w:t>
      </w:r>
      <w:r w:rsidR="00DD547D">
        <w:t xml:space="preserve"> Para el caso de Lebrija, se desarrolló una reunión con integrantes del equipo de trabajo de la Secretaría de Gobierno presentando la funcionalidad del Consejo Metropolitano de Seguridad y Convivencia Ciudadana y la necesidad de su participación, por solicitud de la Policía Metropolitana de Bucaramanga. Sin embargo, no obtuvimos respuesta por parte </w:t>
      </w:r>
    </w:p>
    <w:p w14:paraId="67ECFEE0" w14:textId="71D6DE1C" w:rsidR="00C23B36" w:rsidRDefault="00C23B36" w:rsidP="00C23B36">
      <w:pPr>
        <w:shd w:val="clear" w:color="auto" w:fill="FFFFFF" w:themeFill="background1"/>
        <w:jc w:val="both"/>
        <w:rPr>
          <w:b/>
          <w:color w:val="FF0000"/>
        </w:rPr>
      </w:pPr>
      <w:r>
        <w:lastRenderedPageBreak/>
        <w:t>10.</w:t>
      </w:r>
      <w:r>
        <w:tab/>
        <w:t xml:space="preserve">¿Cuántos hechos metropolitanos existen? ¿Cada hecho metropolitano tiene su </w:t>
      </w:r>
      <w:r w:rsidRPr="003222E4">
        <w:t xml:space="preserve">equipo de trabajo y fuentes de financiación? </w:t>
      </w:r>
      <w:r w:rsidR="00EF78E5">
        <w:t>¿</w:t>
      </w:r>
      <w:r w:rsidRPr="003222E4">
        <w:t>Cuáles son los principales logros, aprendizajes y ret</w:t>
      </w:r>
      <w:r w:rsidR="00F35067">
        <w:t>os de cada hecho metropolitano?</w:t>
      </w:r>
      <w:r>
        <w:t xml:space="preserve"> </w:t>
      </w:r>
      <w:r>
        <w:rPr>
          <w:b/>
          <w:color w:val="FF0000"/>
        </w:rPr>
        <w:t>AD</w:t>
      </w:r>
    </w:p>
    <w:p w14:paraId="72BD6821" w14:textId="3663B934" w:rsidR="00F35067" w:rsidRDefault="00F35067" w:rsidP="00C23B36">
      <w:pPr>
        <w:shd w:val="clear" w:color="auto" w:fill="FFFFFF" w:themeFill="background1"/>
        <w:jc w:val="both"/>
      </w:pPr>
      <w:r>
        <w:tab/>
        <w:t>a. A la fecha se encuentran vigentes 16 hechos metropolitanos.</w:t>
      </w:r>
    </w:p>
    <w:p w14:paraId="2AC4C427" w14:textId="38144EF8" w:rsidR="00F35067" w:rsidRDefault="00F35067" w:rsidP="00EF78E5">
      <w:pPr>
        <w:shd w:val="clear" w:color="auto" w:fill="FFFFFF" w:themeFill="background1"/>
        <w:ind w:left="708"/>
        <w:jc w:val="both"/>
      </w:pPr>
      <w:r>
        <w:t>b. La estructura completa de la entidad está encaminada a la gestión de los hechos metropolitanos. Por esa razón, se conforman equipos de trabajo al interior de la Entidad</w:t>
      </w:r>
      <w:r w:rsidR="00EF78E5">
        <w:t xml:space="preserve"> para gestionarlos en el marco del alcance establecidos en las disposiciones normativas.</w:t>
      </w:r>
    </w:p>
    <w:p w14:paraId="7E2658BB" w14:textId="2E76EAD8" w:rsidR="00EF78E5" w:rsidRPr="00F35067" w:rsidRDefault="00EF78E5" w:rsidP="00EF78E5">
      <w:pPr>
        <w:shd w:val="clear" w:color="auto" w:fill="FFFFFF" w:themeFill="background1"/>
        <w:ind w:left="708"/>
        <w:jc w:val="both"/>
      </w:pPr>
      <w:r>
        <w:t>c. Se hace necesario continuar con los procesos de concertación y definición de alcances de la gestión a realizar por parte del Área Metropolitana de cada uno de los Hechos Metropolitanos.</w:t>
      </w:r>
    </w:p>
    <w:p w14:paraId="09FABF28" w14:textId="552053FD" w:rsidR="00C23B36" w:rsidRDefault="00C23B36" w:rsidP="00C23B36">
      <w:pPr>
        <w:shd w:val="clear" w:color="auto" w:fill="FFFFFF" w:themeFill="background1"/>
        <w:jc w:val="both"/>
        <w:rPr>
          <w:b/>
          <w:color w:val="FF0000"/>
        </w:rPr>
      </w:pPr>
      <w:r>
        <w:t>13.</w:t>
      </w:r>
      <w:r>
        <w:tab/>
        <w:t xml:space="preserve">¿El acuerdo 025 se tramito con los demás municipios Piedecuesta y Girón? </w:t>
      </w:r>
      <w:r>
        <w:rPr>
          <w:b/>
          <w:color w:val="FF0000"/>
        </w:rPr>
        <w:t>AD</w:t>
      </w:r>
    </w:p>
    <w:p w14:paraId="0D4C9543" w14:textId="77777777" w:rsidR="00943FFA" w:rsidRDefault="00EF78E5" w:rsidP="00C23B36">
      <w:pPr>
        <w:shd w:val="clear" w:color="auto" w:fill="FFFFFF" w:themeFill="background1"/>
        <w:jc w:val="both"/>
      </w:pPr>
      <w:r>
        <w:t xml:space="preserve">El acuerdo municipal por medio del cual se crea el fondo de sostenibilidad del servicio público de catastral multipropósito </w:t>
      </w:r>
      <w:r w:rsidR="00943FFA">
        <w:t>contó con la asistencia técnica, participación y apoyo de</w:t>
      </w:r>
      <w:r>
        <w:t>l municipio de Bucaramanga.</w:t>
      </w:r>
      <w:r w:rsidR="00C917E7">
        <w:t xml:space="preserve"> </w:t>
      </w:r>
    </w:p>
    <w:p w14:paraId="5442E55A" w14:textId="1ED31229" w:rsidR="00F35067" w:rsidRPr="00F35067" w:rsidRDefault="00943FFA" w:rsidP="00C23B36">
      <w:pPr>
        <w:shd w:val="clear" w:color="auto" w:fill="FFFFFF" w:themeFill="background1"/>
        <w:jc w:val="both"/>
      </w:pPr>
      <w:r>
        <w:t>Sin embargo, los proyectos de acuerdo municipal deben ser de iniciativa de los gobiernos territoriales, la cual no se ha logrado con Piedecuesta y Girón.</w:t>
      </w:r>
    </w:p>
    <w:p w14:paraId="57137353" w14:textId="2565A2BC" w:rsidR="00C23B36" w:rsidRDefault="00C23B36" w:rsidP="00C23B36">
      <w:pPr>
        <w:shd w:val="clear" w:color="auto" w:fill="FFFFFF" w:themeFill="background1"/>
        <w:jc w:val="both"/>
        <w:rPr>
          <w:b/>
          <w:color w:val="FF0000"/>
        </w:rPr>
      </w:pPr>
      <w:r>
        <w:t>14.</w:t>
      </w:r>
      <w:r>
        <w:tab/>
        <w:t xml:space="preserve">¿En qué etapa va el PGIR metropolitano, siendo la gestión de residuos sólidos un hecho metropolitano? </w:t>
      </w:r>
      <w:r>
        <w:rPr>
          <w:b/>
          <w:color w:val="FF0000"/>
        </w:rPr>
        <w:t>AD</w:t>
      </w:r>
    </w:p>
    <w:p w14:paraId="4720D57F" w14:textId="1BB9BDDE" w:rsidR="00F35067" w:rsidRPr="00F35067" w:rsidRDefault="00ED3C4C" w:rsidP="00C23B36">
      <w:pPr>
        <w:shd w:val="clear" w:color="auto" w:fill="FFFFFF" w:themeFill="background1"/>
        <w:jc w:val="both"/>
      </w:pPr>
      <w:r>
        <w:t xml:space="preserve">No existe la obligación de adoptar el PGIR metropolitano. En el marco del acuerdo metropolitanos 001 de 2019, por medio del cual se declara como hecho metropolitano la actividad de disposición final controlada de residuos sólidos ordinarios para garantizar la prestación del servicio público de aseo, el alcance normativo está encaminado en la conformación de un comité integrado por los alcaldes metropolitanos. El acuerdo metropolitano 012 de 2013, por el cual se declara como hecho metropolitano la gestión integral de los residuos sólidos, dispuso el deber de separar en la fuente y la recolección selectiva de los residuos sólidos, como parte de la función de racionalización de la prestación del servicio público de aseo. </w:t>
      </w:r>
    </w:p>
    <w:p w14:paraId="39063D22" w14:textId="77777777" w:rsidR="00C23B36" w:rsidRDefault="00C23B36"/>
    <w:sectPr w:rsidR="00C23B3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9077C"/>
    <w:multiLevelType w:val="hybridMultilevel"/>
    <w:tmpl w:val="C1661F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3604412"/>
    <w:multiLevelType w:val="hybridMultilevel"/>
    <w:tmpl w:val="507AA6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30746A"/>
    <w:multiLevelType w:val="hybridMultilevel"/>
    <w:tmpl w:val="E646A1F4"/>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611A3A"/>
    <w:multiLevelType w:val="multilevel"/>
    <w:tmpl w:val="BFCEC09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D306A22"/>
    <w:multiLevelType w:val="hybridMultilevel"/>
    <w:tmpl w:val="F0882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24"/>
    <w:rsid w:val="000021BA"/>
    <w:rsid w:val="00161909"/>
    <w:rsid w:val="00301D88"/>
    <w:rsid w:val="00313374"/>
    <w:rsid w:val="00503E53"/>
    <w:rsid w:val="005B3244"/>
    <w:rsid w:val="005F690C"/>
    <w:rsid w:val="00623CB5"/>
    <w:rsid w:val="007707BD"/>
    <w:rsid w:val="007D02B7"/>
    <w:rsid w:val="008636F0"/>
    <w:rsid w:val="00943FFA"/>
    <w:rsid w:val="00C23B36"/>
    <w:rsid w:val="00C32E24"/>
    <w:rsid w:val="00C77792"/>
    <w:rsid w:val="00C917E7"/>
    <w:rsid w:val="00DD547D"/>
    <w:rsid w:val="00ED3C4C"/>
    <w:rsid w:val="00EF78E5"/>
    <w:rsid w:val="00F350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DADA5"/>
  <w15:chartTrackingRefBased/>
  <w15:docId w15:val="{084EF6FB-D6DB-411F-854E-4DDD4BA4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90C"/>
    <w:pPr>
      <w:spacing w:after="120" w:line="240" w:lineRule="auto"/>
    </w:pPr>
    <w:rPr>
      <w:rFonts w:ascii="Arial" w:eastAsia="Arial" w:hAnsi="Arial"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F690C"/>
    <w:pPr>
      <w:spacing w:after="0"/>
      <w:ind w:left="720"/>
      <w:contextualSpacing/>
    </w:pPr>
    <w:rPr>
      <w:rFonts w:ascii="Times New Roman" w:eastAsia="Times New Roman" w:hAnsi="Times New Roman"/>
      <w:sz w:val="24"/>
      <w:szCs w:val="24"/>
      <w:lang w:eastAsia="es-ES"/>
    </w:rPr>
  </w:style>
  <w:style w:type="paragraph" w:styleId="NormalWeb">
    <w:name w:val="Normal (Web)"/>
    <w:basedOn w:val="Normal"/>
    <w:uiPriority w:val="99"/>
    <w:unhideWhenUsed/>
    <w:rsid w:val="00C23B36"/>
    <w:pPr>
      <w:spacing w:before="100" w:beforeAutospacing="1" w:after="100" w:afterAutospacing="1"/>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1126</Words>
  <Characters>6194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Area metropolitana de Bucaramanga</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Mario.Barragan</dc:creator>
  <cp:keywords/>
  <dc:description/>
  <cp:lastModifiedBy>PC</cp:lastModifiedBy>
  <cp:revision>11</cp:revision>
  <dcterms:created xsi:type="dcterms:W3CDTF">2023-11-20T15:14:00Z</dcterms:created>
  <dcterms:modified xsi:type="dcterms:W3CDTF">2023-11-20T17:38:00Z</dcterms:modified>
</cp:coreProperties>
</file>